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61" w:rsidRP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463761">
        <w:rPr>
          <w:rFonts w:ascii="Times New Roman" w:eastAsia="Times New Roman" w:hAnsi="Times New Roman" w:cs="Times New Roman"/>
          <w:color w:val="337FBD"/>
          <w:sz w:val="24"/>
          <w:szCs w:val="24"/>
        </w:rPr>
        <w:t>Скорректирован порядок признания задолженности по платежам в бюджет безнадежной</w:t>
      </w:r>
    </w:p>
    <w:p w:rsid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7 апреля 2020 г. № 114-ФЗ внесены изменения в статью 47.2 Бюджетного кодекса Российской Федерации, устанавливающую основания и порядок признания задолженности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платежам в бюджет безнадежной.</w:t>
      </w:r>
    </w:p>
    <w:p w:rsid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частности, добавляются новые основания, по которым такая задолженность может быть признана безнадежной и в последующем списана, а именно, в случае признания банкротом гражданина, не являющегося индивидуальным предпринимателем, а также в случае применения актов об амнистии или о помиловании в отношении осужде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к наказанию в виде штрафа.</w:t>
      </w:r>
    </w:p>
    <w:p w:rsid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после вступления в силу названного федерального закона штрафы могут быть признаны безнадежными к взысканию, если судьей, органом, должностным лицом, вынесено постановление о прекращении исполнения постановления о назначен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административного наказания.</w:t>
      </w:r>
    </w:p>
    <w:p w:rsid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опубликован на официальном </w:t>
      </w:r>
      <w:proofErr w:type="spellStart"/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интернет-портале</w:t>
      </w:r>
      <w:proofErr w:type="spellEnd"/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правовой информации </w:t>
      </w:r>
      <w:proofErr w:type="spellStart"/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>www.pravo.gov.ru</w:t>
      </w:r>
      <w:proofErr w:type="spellEnd"/>
      <w:r w:rsidRPr="00463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07.04.2020 и вступает в силу по истечении десяти дней после дня его официального опубликования.</w:t>
      </w:r>
      <w:proofErr w:type="gramEnd"/>
    </w:p>
    <w:p w:rsidR="00463761" w:rsidRPr="00463761" w:rsidRDefault="00463761" w:rsidP="00463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761" w:rsidRPr="009E0C3A" w:rsidRDefault="00463761" w:rsidP="00463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013FB3" w:rsidRDefault="00013FB3"/>
    <w:sectPr w:rsidR="0001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3761"/>
    <w:rsid w:val="00013FB3"/>
    <w:rsid w:val="0046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2020-06-24T07:57:00Z</dcterms:created>
  <dcterms:modified xsi:type="dcterms:W3CDTF">2020-06-24T07:57:00Z</dcterms:modified>
</cp:coreProperties>
</file>