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89" w:rsidRPr="00A02189" w:rsidRDefault="00A02189" w:rsidP="00A02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7FBD"/>
          <w:sz w:val="24"/>
          <w:szCs w:val="24"/>
        </w:rPr>
      </w:pPr>
      <w:r w:rsidRPr="00A02189">
        <w:rPr>
          <w:rFonts w:ascii="Times New Roman" w:eastAsia="Times New Roman" w:hAnsi="Times New Roman" w:cs="Times New Roman"/>
          <w:color w:val="337FBD"/>
          <w:sz w:val="24"/>
          <w:szCs w:val="24"/>
        </w:rPr>
        <w:t>Определен порядок перевозки специальных грузов по автомобильным дорогам</w:t>
      </w:r>
    </w:p>
    <w:p w:rsidR="00A02189" w:rsidRPr="00A02189" w:rsidRDefault="00A02189" w:rsidP="00A02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A0218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01.03.2020 № 39-ФЗ внесены изменения в статьи 1 и 4 Федерального закона «О государственном контроле за осуществлением международных автомобильных перевозок и об ответственности за нарушение порядка их выполнения» и статьи 3 и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proofErr w:type="gramEnd"/>
    </w:p>
    <w:p w:rsidR="00A02189" w:rsidRDefault="00A02189" w:rsidP="00A02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02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Поправками закреплено, что к специальным грузам относятся грузы, предназначенные для удовлетворения особо важных государственных и оборонных нужд и обеспечения безопасности государства. Отнесение грузов к специальным грузам осуществляется в соответствии с актом Правительства РФ. </w:t>
      </w:r>
      <w:proofErr w:type="gramStart"/>
      <w:r w:rsidRPr="00A02189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транспортных средств, осуществляющих перевозки опасных грузов, отнесенных к специальным, осуществляется без специальных разрешений в соответствии с нормативными правовыми актами РФ, регулирующими перевозки специальных грузов.</w:t>
      </w:r>
      <w:proofErr w:type="gramEnd"/>
    </w:p>
    <w:p w:rsidR="00A02189" w:rsidRPr="00A02189" w:rsidRDefault="00A02189" w:rsidP="00A02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189" w:rsidRPr="009E0C3A" w:rsidRDefault="00A02189" w:rsidP="00A02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A56762" w:rsidRDefault="00A56762"/>
    <w:sectPr w:rsidR="00A5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2189"/>
    <w:rsid w:val="00A02189"/>
    <w:rsid w:val="00A5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2020-06-24T07:59:00Z</dcterms:created>
  <dcterms:modified xsi:type="dcterms:W3CDTF">2020-06-24T08:00:00Z</dcterms:modified>
</cp:coreProperties>
</file>